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highlight w:val="none"/>
          <w:shd w:fill="FFB6C1" w:val="clear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1297940</wp:posOffset>
            </wp:positionH>
            <wp:positionV relativeFrom="paragraph">
              <wp:posOffset>-457200</wp:posOffset>
            </wp:positionV>
            <wp:extent cx="5805170" cy="5505450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color w:val="222222"/>
          <w:sz w:val="36"/>
          <w:szCs w:val="36"/>
          <w:shd w:fill="FFB6C1" w:val="clear"/>
          <w:lang w:eastAsia="cs-CZ"/>
        </w:rPr>
        <w:t>MĚSÍČNÍ PLÁN</w:t>
      </w:r>
    </w:p>
    <w:p>
      <w:pPr>
        <w:pStyle w:val="Normal"/>
        <w:spacing w:lineRule="auto" w:line="276" w:before="0" w:after="0"/>
        <w:jc w:val="center"/>
        <w:rPr>
          <w:color w:val="000000"/>
          <w:highlight w:val="none"/>
          <w:shd w:fill="FFB6C1" w:val="clear"/>
        </w:rPr>
      </w:pPr>
      <w:r>
        <w:rPr>
          <w:rFonts w:eastAsia="Times New Roman" w:cs="Arial" w:ascii="Arial" w:hAnsi="Arial"/>
          <w:b/>
          <w:color w:val="000000"/>
          <w:kern w:val="0"/>
          <w:sz w:val="32"/>
          <w:szCs w:val="32"/>
          <w:shd w:fill="FFB6C1" w:val="clear"/>
          <w:lang w:val="cs-CZ" w:eastAsia="cs-CZ" w:bidi="ar-SA"/>
        </w:rPr>
        <w:t>ČERVEN</w:t>
      </w:r>
    </w:p>
    <w:p>
      <w:pPr>
        <w:pStyle w:val="Normal"/>
        <w:spacing w:lineRule="auto" w:line="276" w:before="0" w:after="0"/>
        <w:jc w:val="center"/>
        <w:rPr>
          <w:highlight w:val="none"/>
          <w:shd w:fill="FFB6C1" w:val="clear"/>
        </w:rPr>
      </w:pPr>
      <w:r>
        <w:rPr>
          <w:rFonts w:eastAsia="Times New Roman" w:cs="Arial" w:ascii="Arial" w:hAnsi="Arial"/>
          <w:b/>
          <w:sz w:val="32"/>
          <w:szCs w:val="32"/>
          <w:shd w:fill="FFB6C1" w:val="clear"/>
          <w:lang w:eastAsia="cs-CZ"/>
        </w:rPr>
        <w:t>Bublinky</w:t>
      </w:r>
    </w:p>
    <w:p>
      <w:pPr>
        <w:pStyle w:val="ListParagraph"/>
        <w:spacing w:lineRule="auto" w:line="276" w:before="0" w:after="0"/>
        <w:ind w:hanging="0" w:left="1275"/>
        <w:contextualSpacing/>
        <w:rPr>
          <w:rFonts w:ascii="Arial" w:hAnsi="Arial" w:eastAsia="Times New Roman" w:cs="Arial"/>
          <w:b/>
          <w:sz w:val="36"/>
          <w:szCs w:val="32"/>
          <w:lang w:eastAsia="cs-CZ"/>
        </w:rPr>
      </w:pPr>
      <w:r>
        <w:rPr>
          <w:rFonts w:eastAsia="Times New Roman" w:cs="Arial" w:ascii="Arial" w:hAnsi="Arial"/>
          <w:b/>
          <w:sz w:val="36"/>
          <w:szCs w:val="32"/>
          <w:lang w:eastAsia="cs-CZ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/>
      </w:pPr>
      <w:r>
        <w:rPr>
          <w:rFonts w:eastAsia="Calibri" w:cs=""/>
          <w:b/>
          <w:bCs w:val="false"/>
          <w:color w:val="4682B4"/>
          <w:kern w:val="0"/>
          <w:sz w:val="30"/>
          <w:szCs w:val="30"/>
          <w:u w:val="none"/>
          <w:lang w:val="cs-CZ" w:eastAsia="en-US" w:bidi="ar-SA"/>
        </w:rPr>
        <w:t>1. TÝDEN:</w:t>
      </w:r>
      <w:r>
        <w:rPr>
          <w:rFonts w:eastAsia="Calibri" w:cs=""/>
          <w:b w:val="false"/>
          <w:bCs w:val="false"/>
          <w:color w:val="DB7093"/>
          <w:kern w:val="0"/>
          <w:sz w:val="30"/>
          <w:szCs w:val="30"/>
          <w:u w:val="none"/>
          <w:lang w:val="cs-CZ" w:eastAsia="en-US" w:bidi="ar-SA"/>
        </w:rPr>
        <w:t xml:space="preserve"> </w:t>
      </w:r>
      <w:r>
        <w:rPr>
          <w:rFonts w:eastAsia="Calibri" w:cs=""/>
          <w:b/>
          <w:bCs/>
          <w:color w:val="DB7093"/>
          <w:kern w:val="0"/>
          <w:sz w:val="30"/>
          <w:szCs w:val="30"/>
          <w:u w:val="none"/>
          <w:lang w:val="cs-CZ" w:eastAsia="en-US" w:bidi="ar-SA"/>
        </w:rPr>
        <w:t>Den dětí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720"/>
        <w:rPr>
          <w:rFonts w:ascii="Calibri" w:hAnsi="Calibri"/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0" w:after="0"/>
        <w:ind w:firstLine="708"/>
        <w:rPr/>
      </w:pPr>
      <w:r>
        <w:rPr>
          <w:b/>
          <w:color w:themeColor="text1" w:val="000000"/>
          <w:sz w:val="24"/>
          <w:szCs w:val="24"/>
        </w:rPr>
        <w:t>Dítě a jeho tělo (oblast biologická)</w:t>
      </w:r>
    </w:p>
    <w:p>
      <w:pPr>
        <w:pStyle w:val="Normal"/>
        <w:numPr>
          <w:ilvl w:val="0"/>
          <w:numId w:val="6"/>
        </w:numPr>
        <w:spacing w:lineRule="auto" w:line="276" w:before="0" w:after="0"/>
        <w:rPr/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Dítě si je vědomo následků nebezpečí při hře</w:t>
      </w:r>
    </w:p>
    <w:p>
      <w:pPr>
        <w:pStyle w:val="Normal"/>
        <w:spacing w:lineRule="auto" w:line="276" w:before="0" w:after="0"/>
        <w:rPr/>
      </w:pPr>
      <w:r>
        <w:rPr>
          <w:b/>
          <w:color w:val="C9211E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jeho psychika (oblast psychologická)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rPr/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Rozlišovat některé obrázkové symboly</w:t>
      </w:r>
    </w:p>
    <w:p>
      <w:pPr>
        <w:pStyle w:val="Normal"/>
        <w:tabs>
          <w:tab w:val="clear" w:pos="708"/>
          <w:tab w:val="left" w:pos="709" w:leader="none"/>
          <w:tab w:val="left" w:pos="8910" w:leader="none"/>
        </w:tabs>
        <w:spacing w:lineRule="auto" w:line="276" w:before="0" w:after="0"/>
        <w:rPr/>
      </w:pPr>
      <w:r>
        <w:rPr>
          <w:color w:val="C9211E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 xml:space="preserve">Dítě a ten druhý </w:t>
      </w:r>
      <w:r>
        <w:rPr>
          <w:b/>
          <w:bCs/>
          <w:color w:themeColor="text1" w:val="000000"/>
          <w:sz w:val="24"/>
          <w:szCs w:val="24"/>
        </w:rPr>
        <w:t>(oblast interpersonální)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contextualSpacing/>
        <w:rPr/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Bránit se projevům násilí jiného dítěte.</w:t>
      </w:r>
    </w:p>
    <w:p>
      <w:pPr>
        <w:pStyle w:val="Normal"/>
        <w:tabs>
          <w:tab w:val="clear" w:pos="708"/>
          <w:tab w:val="left" w:pos="345" w:leader="none"/>
        </w:tabs>
        <w:spacing w:lineRule="auto" w:line="276" w:before="0" w:after="0"/>
        <w:rPr/>
      </w:pPr>
      <w:r>
        <w:rPr>
          <w:b/>
          <w:bCs/>
          <w:color w:val="C9211E"/>
          <w:sz w:val="24"/>
          <w:szCs w:val="24"/>
        </w:rPr>
        <w:tab/>
        <w:tab/>
      </w:r>
      <w:r>
        <w:rPr>
          <w:b/>
          <w:color w:themeColor="text1" w:val="000000"/>
          <w:sz w:val="24"/>
          <w:szCs w:val="24"/>
        </w:rPr>
        <w:t xml:space="preserve">Dítě a společnost (sociálně-kulturní)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45" w:leader="none"/>
        </w:tabs>
        <w:spacing w:lineRule="auto" w:line="276" w:before="0" w:after="0"/>
        <w:rPr/>
      </w:pPr>
      <w:r>
        <w:rPr>
          <w:rFonts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  <w:t>Uvědomit si, že ne všechny děti dodržují pravidla chování</w:t>
      </w:r>
    </w:p>
    <w:p>
      <w:pPr>
        <w:pStyle w:val="Normal"/>
        <w:spacing w:lineRule="auto" w:line="276" w:before="0" w:after="0"/>
        <w:rPr/>
      </w:pPr>
      <w:r>
        <w:rPr>
          <w:color w:val="C9211E"/>
          <w:sz w:val="24"/>
          <w:szCs w:val="24"/>
        </w:rPr>
        <w:t xml:space="preserve">     </w:t>
      </w:r>
      <w:r>
        <w:rPr>
          <w:color w:val="C9211E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svět (environmentální)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8910" w:leader="none"/>
        </w:tabs>
        <w:spacing w:lineRule="auto" w:line="276" w:before="0" w:after="0"/>
        <w:rPr/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Vnímání přirozených podnětů a situací.</w:t>
      </w:r>
    </w:p>
    <w:p>
      <w:pPr>
        <w:pStyle w:val="Normal"/>
        <w:tabs>
          <w:tab w:val="clear" w:pos="708"/>
          <w:tab w:val="left" w:pos="8910" w:leader="none"/>
        </w:tabs>
        <w:spacing w:lineRule="auto" w:line="276" w:before="0" w:after="0"/>
        <w:rPr/>
      </w:pPr>
      <w:r>
        <w:rPr>
          <w:b/>
          <w:color w:val="C9211E"/>
          <w:sz w:val="24"/>
          <w:szCs w:val="24"/>
        </w:rPr>
        <w:t xml:space="preserve">  </w:t>
      </w:r>
    </w:p>
    <w:p>
      <w:pPr>
        <w:pStyle w:val="Normal"/>
        <w:spacing w:lineRule="auto" w:line="276" w:before="0" w:after="0"/>
        <w:rPr/>
      </w:pPr>
      <w:r>
        <w:rPr>
          <w:b/>
          <w:color w:val="C9211E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KLÍČOVÉ KOMPETENCE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737" w:right="0"/>
        <w:contextualSpacing/>
        <w:jc w:val="left"/>
        <w:rPr/>
      </w:pP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lang w:val="cs-CZ" w:eastAsia="en-US" w:bidi="ar-SA"/>
        </w:rPr>
        <w:t>K řešení problémů: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lang w:val="cs-CZ" w:eastAsia="en-US" w:bidi="ar-SA"/>
        </w:rPr>
        <w:t xml:space="preserve"> </w:t>
      </w:r>
      <w:r>
        <w:rPr>
          <w:rFonts w:eastAsia="Calibri" w:cs=""/>
          <w:b w:val="false"/>
          <w:bCs w:val="false"/>
          <w:color w:val="000000"/>
          <w:kern w:val="0"/>
          <w:sz w:val="24"/>
          <w:szCs w:val="24"/>
          <w:lang w:val="cs-CZ" w:eastAsia="en-US" w:bidi="ar-SA"/>
        </w:rPr>
        <w:t>Vnímá elementární matematické souvislosti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1522" w:right="0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>
          <w:u w:val="none"/>
        </w:rPr>
      </w:pPr>
      <w:r>
        <w:rPr>
          <w:rFonts w:eastAsia="Times New Roman" w:cs="Arial"/>
          <w:b/>
          <w:bCs w:val="false"/>
          <w:color w:val="4682B4"/>
          <w:sz w:val="30"/>
          <w:szCs w:val="30"/>
          <w:u w:val="none"/>
          <w:lang w:eastAsia="cs-CZ"/>
        </w:rPr>
        <w:tab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>
          <w:color w:val="C9211E"/>
        </w:rPr>
      </w:pPr>
      <w:r>
        <w:rPr>
          <w:rFonts w:eastAsia="Times New Roman" w:cs="Arial"/>
          <w:b/>
          <w:bCs w:val="false"/>
          <w:color w:val="C9211E"/>
          <w:sz w:val="30"/>
          <w:szCs w:val="30"/>
          <w:u w:val="none"/>
          <w:lang w:eastAsia="cs-CZ"/>
        </w:rPr>
        <w:tab/>
      </w:r>
      <w:r>
        <w:rPr>
          <w:rFonts w:eastAsia="Times New Roman" w:cs="Arial"/>
          <w:b/>
          <w:bCs w:val="false"/>
          <w:color w:val="2E74B5"/>
          <w:sz w:val="30"/>
          <w:szCs w:val="30"/>
          <w:u w:val="none"/>
          <w:shd w:fill="auto" w:val="clear"/>
          <w:lang w:eastAsia="cs-CZ"/>
        </w:rPr>
        <w:t>2. TÝDEN:</w:t>
      </w:r>
      <w:r>
        <w:rPr>
          <w:rFonts w:eastAsia="Times New Roman" w:cs="Arial"/>
          <w:b/>
          <w:bCs w:val="false"/>
          <w:color w:val="6495ED"/>
          <w:sz w:val="30"/>
          <w:szCs w:val="30"/>
          <w:u w:val="none"/>
          <w:shd w:fill="auto" w:val="clear"/>
          <w:lang w:eastAsia="cs-CZ"/>
        </w:rPr>
        <w:t xml:space="preserve"> </w:t>
      </w:r>
      <w:r>
        <w:rPr>
          <w:rFonts w:eastAsia="Times New Roman" w:cs="Arial"/>
          <w:b/>
          <w:bCs w:val="false"/>
          <w:color w:val="DB7093"/>
          <w:sz w:val="30"/>
          <w:szCs w:val="30"/>
          <w:u w:val="none"/>
          <w:shd w:fill="auto" w:val="clear"/>
          <w:lang w:eastAsia="cs-CZ"/>
        </w:rPr>
        <w:t>Mám rád svého tatínka (jaký je?)</w:t>
      </w:r>
    </w:p>
    <w:p>
      <w:pPr>
        <w:pStyle w:val="Normal"/>
        <w:spacing w:lineRule="auto" w:line="276" w:before="0" w:after="0"/>
        <w:ind w:firstLine="708"/>
        <w:rPr>
          <w:b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>Dítě a jeho tělo (oblast biologická)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rFonts w:eastAsia="Calibri" w:cs="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Zacházení s jednoduchými hudebními nástroji a běžnými pracovními pomůckami.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jeho psychika (oblast psychologická)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rPr>
          <w:rFonts w:eastAsia="Calibri" w:cs="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zaměřovat se na to, co je důležité</w:t>
      </w:r>
    </w:p>
    <w:p>
      <w:pPr>
        <w:pStyle w:val="Normal"/>
        <w:tabs>
          <w:tab w:val="clear" w:pos="708"/>
          <w:tab w:val="left" w:pos="709" w:leader="none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 xml:space="preserve">Dítě a ten druhý </w:t>
      </w:r>
      <w:r>
        <w:rPr>
          <w:b/>
          <w:bCs/>
          <w:color w:themeColor="text1" w:val="000000"/>
          <w:sz w:val="24"/>
          <w:szCs w:val="24"/>
        </w:rPr>
        <w:t>(oblast interpersonální)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contextualSpacing/>
        <w:rPr>
          <w:rFonts w:eastAsia="Calibri" w:cs="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Půjčuji hračku, střídám se s ostatními a pomáhám.</w:t>
      </w:r>
    </w:p>
    <w:p>
      <w:pPr>
        <w:pStyle w:val="Normal"/>
        <w:tabs>
          <w:tab w:val="clear" w:pos="708"/>
          <w:tab w:val="left" w:pos="345" w:leader="none"/>
        </w:tabs>
        <w:spacing w:lineRule="auto" w:line="276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ab/>
        <w:tab/>
      </w:r>
      <w:r>
        <w:rPr>
          <w:b/>
          <w:color w:themeColor="text1" w:val="000000"/>
          <w:sz w:val="24"/>
          <w:szCs w:val="24"/>
        </w:rPr>
        <w:t xml:space="preserve">Dítě a společnost (sociálně-kulturní)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45" w:leader="none"/>
        </w:tabs>
        <w:spacing w:lineRule="auto" w:line="276" w:before="0" w:after="0"/>
        <w:rPr>
          <w:rFonts w:eastAsia="Calibri" w:cs=""/>
          <w:bCs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  <w:t>Účast na dětských akcích a seznámení se s nimi.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svět (environmentální)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8910" w:leader="none"/>
        </w:tabs>
        <w:spacing w:lineRule="auto" w:line="276" w:before="0" w:after="0"/>
        <w:rPr>
          <w:rFonts w:eastAsia="Calibri" w:cs="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V</w:t>
      </w: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nímat, že svět má svůj řád a je romanitý.</w:t>
      </w:r>
    </w:p>
    <w:p>
      <w:pPr>
        <w:pStyle w:val="Normal"/>
        <w:tabs>
          <w:tab w:val="clear" w:pos="708"/>
          <w:tab w:val="left" w:pos="8910" w:leader="none"/>
        </w:tabs>
        <w:spacing w:lineRule="auto" w:line="276" w:before="0" w:after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KLÍČOVÉ KOMPETENCE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>
          <w:color w:val="C9211E"/>
        </w:rPr>
      </w:pP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ab/>
        <w:t>K učení: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 xml:space="preserve"> </w:t>
      </w:r>
      <w:r>
        <w:rPr>
          <w:rFonts w:eastAsia="Calibri" w:cs=""/>
          <w:b w:val="false"/>
          <w:bCs w:val="false"/>
          <w:color w:val="000000"/>
          <w:kern w:val="0"/>
          <w:sz w:val="24"/>
          <w:szCs w:val="24"/>
          <w:u w:val="none"/>
          <w:lang w:val="cs-CZ" w:eastAsia="en-US" w:bidi="ar-SA"/>
        </w:rPr>
        <w:t>Dovede postupovat podle instrukcí a pokynů.</w:t>
      </w:r>
      <w:r>
        <w:br w:type="page"/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color w:val="C9211E"/>
          <w:u w:val="none"/>
        </w:rPr>
      </w:pPr>
      <w:r>
        <w:rPr>
          <w:color w:val="C9211E"/>
          <w:u w:val="none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color w:val="C9211E"/>
          <w:u w:val="none"/>
        </w:rPr>
      </w:pPr>
      <w:r>
        <w:rPr>
          <w:color w:val="C9211E"/>
          <w:u w:val="none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color w:val="4682B4"/>
        </w:rPr>
      </w:pPr>
      <w:r>
        <w:rPr>
          <w:rFonts w:eastAsia="Times New Roman" w:cs="Arial"/>
          <w:b/>
          <w:bCs/>
          <w:color w:val="4682B4"/>
          <w:kern w:val="0"/>
          <w:sz w:val="30"/>
          <w:szCs w:val="30"/>
          <w:u w:val="none"/>
          <w:lang w:val="cs-CZ" w:eastAsia="cs-CZ" w:bidi="ar-SA"/>
        </w:rPr>
        <w:t xml:space="preserve">3.TÝDEN: </w:t>
      </w:r>
      <w:r>
        <w:rPr>
          <w:rFonts w:eastAsia="Times New Roman" w:cs="Arial"/>
          <w:b/>
          <w:bCs/>
          <w:color w:val="DB7093"/>
          <w:kern w:val="0"/>
          <w:sz w:val="30"/>
          <w:szCs w:val="30"/>
          <w:u w:val="none"/>
          <w:lang w:val="cs-CZ" w:eastAsia="cs-CZ" w:bidi="ar-SA"/>
        </w:rPr>
        <w:t>Už se těším na léto</w:t>
      </w:r>
    </w:p>
    <w:p>
      <w:pPr>
        <w:pStyle w:val="Normal"/>
        <w:spacing w:lineRule="auto" w:line="276" w:before="0" w:after="0"/>
        <w:ind w:firstLine="555"/>
        <w:rPr>
          <w:color w:val="4682B4"/>
        </w:rPr>
      </w:pPr>
      <w:r>
        <w:rPr>
          <w:b/>
          <w:color w:val="4682B4"/>
          <w:sz w:val="24"/>
          <w:szCs w:val="24"/>
        </w:rPr>
        <w:tab/>
      </w:r>
    </w:p>
    <w:p>
      <w:pPr>
        <w:pStyle w:val="Normal"/>
        <w:spacing w:lineRule="auto" w:line="276" w:before="0" w:after="0"/>
        <w:ind w:firstLine="555"/>
        <w:rPr>
          <w:color w:val="000000"/>
        </w:rPr>
      </w:pPr>
      <w:r>
        <w:rPr>
          <w:b/>
          <w:color w:val="000000"/>
          <w:sz w:val="24"/>
          <w:szCs w:val="24"/>
        </w:rPr>
        <w:tab/>
        <w:t>Dítě a jeho tělo (oblast biologická)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color w:val="000000"/>
        </w:rPr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Umí zacházet s běžnými pracovními nástroji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ab/>
        <w:t>Dítě a jeho psychika (oblast psychologická)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color w:val="000000"/>
        </w:rPr>
      </w:pPr>
      <w:r>
        <w:rPr>
          <w:rFonts w:eastAsia="Calibri" w:cs=""/>
          <w:color w:val="000000"/>
          <w:kern w:val="0"/>
          <w:sz w:val="24"/>
          <w:szCs w:val="24"/>
          <w:lang w:val="cs-CZ" w:eastAsia="en-US" w:bidi="ar-SA"/>
        </w:rPr>
        <w:t>Umí si zorganizovat hru a vyjádřit souhlas i nesouhlas v situacích, které to vyžadují</w:t>
      </w:r>
    </w:p>
    <w:p>
      <w:pPr>
        <w:pStyle w:val="Normal"/>
        <w:spacing w:lineRule="auto" w:line="276" w:before="0" w:after="0"/>
        <w:rPr>
          <w:color w:val="C9211E"/>
        </w:rPr>
      </w:pPr>
      <w:r>
        <w:rPr>
          <w:b/>
          <w:color w:val="C9211E"/>
          <w:sz w:val="24"/>
          <w:szCs w:val="24"/>
        </w:rPr>
        <w:t xml:space="preserve">     </w:t>
      </w:r>
      <w:r>
        <w:rPr>
          <w:b/>
          <w:color w:val="C9211E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Dítě a ten druhý </w:t>
      </w:r>
      <w:r>
        <w:rPr>
          <w:b/>
          <w:bCs/>
          <w:color w:val="000000"/>
          <w:sz w:val="24"/>
          <w:szCs w:val="24"/>
        </w:rPr>
        <w:t>(oblast interpersonální)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color w:val="000000"/>
        </w:rPr>
      </w:pPr>
      <w:r>
        <w:rPr>
          <w:rFonts w:eastAsia="Calibri" w:cs=""/>
          <w:color w:val="000000"/>
          <w:kern w:val="0"/>
          <w:sz w:val="24"/>
          <w:szCs w:val="24"/>
          <w:lang w:val="cs-CZ" w:eastAsia="en-US" w:bidi="ar-SA"/>
        </w:rPr>
        <w:t>Hry a situace, při kterých si dítě učí chránit své soukromí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Dítě a společnost (sociálně-kulturní)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color w:val="000000"/>
        </w:rPr>
      </w:pPr>
      <w:r>
        <w:rPr>
          <w:rFonts w:eastAsia="Calibri" w:cs=""/>
          <w:color w:val="000000"/>
          <w:kern w:val="0"/>
          <w:sz w:val="24"/>
          <w:szCs w:val="24"/>
          <w:lang w:val="cs-CZ" w:eastAsia="en-US" w:bidi="ar-SA"/>
        </w:rPr>
        <w:t>Chová se a jedná s ohledem na druhé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val="000000"/>
          <w:sz w:val="24"/>
          <w:szCs w:val="24"/>
        </w:rPr>
        <w:tab/>
        <w:t>Dítě a svět (environmentální)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rFonts w:eastAsia="Calibri" w:cs=""/>
          <w:color w:val="000000"/>
          <w:kern w:val="0"/>
          <w:sz w:val="24"/>
          <w:szCs w:val="24"/>
          <w:lang w:val="cs-CZ" w:eastAsia="en-US" w:bidi="ar-SA"/>
        </w:rPr>
        <w:t>Přirozené i zprostředkované poznávání přírodního okolí</w:t>
      </w:r>
    </w:p>
    <w:p>
      <w:pPr>
        <w:pStyle w:val="Normal"/>
        <w:tabs>
          <w:tab w:val="clear" w:pos="708"/>
          <w:tab w:val="left" w:pos="6555" w:leader="none"/>
        </w:tabs>
        <w:spacing w:lineRule="auto" w:line="276" w:before="0" w:after="0"/>
        <w:rPr>
          <w:color w:val="C9211E"/>
        </w:rPr>
      </w:pPr>
      <w:r>
        <w:rPr>
          <w:color w:val="C9211E"/>
          <w:sz w:val="24"/>
          <w:szCs w:val="24"/>
        </w:rPr>
        <w:t xml:space="preserve">  </w:t>
      </w:r>
      <w:r>
        <w:rPr>
          <w:color w:val="C9211E"/>
          <w:sz w:val="24"/>
          <w:szCs w:val="24"/>
        </w:rPr>
        <w:tab/>
      </w:r>
    </w:p>
    <w:p>
      <w:pPr>
        <w:pStyle w:val="Normal"/>
        <w:spacing w:lineRule="auto" w:line="276" w:before="0" w:after="0"/>
        <w:rPr>
          <w:color w:val="C9211E"/>
        </w:rPr>
      </w:pPr>
      <w:r>
        <w:rPr>
          <w:b/>
          <w:color w:val="C9211E"/>
          <w:sz w:val="24"/>
          <w:szCs w:val="24"/>
        </w:rPr>
        <w:t xml:space="preserve">     </w:t>
      </w:r>
      <w:r>
        <w:rPr>
          <w:b/>
          <w:color w:val="C9211E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KLÍČOVÉ KOMPETENCE</w:t>
      </w:r>
    </w:p>
    <w:p>
      <w:pPr>
        <w:pStyle w:val="ListParagraph"/>
        <w:spacing w:lineRule="auto" w:line="276"/>
        <w:ind w:hanging="0" w:left="720"/>
        <w:rPr>
          <w:color w:val="000000"/>
        </w:rPr>
      </w:pPr>
      <w:r>
        <w:rPr>
          <w:rFonts w:eastAsia="Calibri" w:cs=""/>
          <w:b/>
          <w:bCs w:val="false"/>
          <w:color w:val="000000"/>
          <w:kern w:val="0"/>
          <w:sz w:val="24"/>
          <w:szCs w:val="24"/>
          <w:lang w:val="cs-CZ" w:eastAsia="en-US" w:bidi="ar-SA"/>
        </w:rPr>
        <w:t xml:space="preserve">Činnostní a občanské: </w:t>
      </w:r>
      <w:r>
        <w:rPr>
          <w:rFonts w:eastAsia="Calibri" w:cs=""/>
          <w:b w:val="false"/>
          <w:bCs w:val="false"/>
          <w:color w:val="000000"/>
          <w:kern w:val="0"/>
          <w:sz w:val="24"/>
          <w:szCs w:val="24"/>
          <w:lang w:val="cs-CZ" w:eastAsia="en-US" w:bidi="ar-SA"/>
        </w:rPr>
        <w:t>uvědomuje si, že svým chováním se podílí na prostředí, ve kterém žije</w:t>
      </w:r>
    </w:p>
    <w:p>
      <w:pPr>
        <w:pStyle w:val="ListParagraph"/>
        <w:spacing w:lineRule="auto" w:line="276"/>
        <w:ind w:hanging="0" w:left="720"/>
        <w:rPr>
          <w:color w:val="C9211E"/>
        </w:rPr>
      </w:pPr>
      <w:r>
        <w:rPr>
          <w:color w:val="C9211E"/>
        </w:rPr>
      </w:r>
    </w:p>
    <w:p>
      <w:pPr>
        <w:pStyle w:val="ListParagraph"/>
        <w:spacing w:lineRule="auto" w:line="276"/>
        <w:ind w:hanging="0" w:left="720"/>
        <w:rPr>
          <w:color w:val="C9211E"/>
        </w:rPr>
      </w:pPr>
      <w:r>
        <w:rPr>
          <w:rFonts w:eastAsia="Calibri" w:cs=""/>
          <w:b w:val="false"/>
          <w:bCs w:val="false"/>
          <w:color w:val="C9211E"/>
          <w:kern w:val="0"/>
          <w:sz w:val="24"/>
          <w:szCs w:val="24"/>
          <w:u w:val="none"/>
          <w:lang w:val="cs-CZ" w:eastAsia="en-US" w:bidi="ar-SA"/>
        </w:rPr>
        <w:tab/>
      </w:r>
    </w:p>
    <w:p>
      <w:pPr>
        <w:pStyle w:val="ListParagraph"/>
        <w:spacing w:lineRule="auto" w:line="276"/>
        <w:ind w:hanging="0" w:left="720"/>
        <w:rPr>
          <w:rFonts w:eastAsia="Calibri" w:cs=""/>
          <w:b w:val="false"/>
          <w:bCs w:val="false"/>
          <w:color w:val="DB7093"/>
          <w:kern w:val="0"/>
          <w:sz w:val="24"/>
          <w:szCs w:val="24"/>
          <w:u w:val="none"/>
          <w:lang w:val="cs-CZ" w:eastAsia="en-US" w:bidi="ar-SA"/>
        </w:rPr>
      </w:pPr>
      <w:r>
        <w:rPr>
          <w:rFonts w:eastAsia="Calibri" w:cs=""/>
          <w:b w:val="false"/>
          <w:bCs w:val="false"/>
          <w:color w:val="DB7093"/>
          <w:kern w:val="0"/>
          <w:sz w:val="24"/>
          <w:szCs w:val="24"/>
          <w:u w:val="none"/>
          <w:lang w:val="cs-CZ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rFonts w:eastAsia="Calibri" w:cs=""/>
          <w:b/>
          <w:bCs/>
          <w:color w:val="2E74B5"/>
          <w:kern w:val="0"/>
          <w:sz w:val="30"/>
          <w:szCs w:val="30"/>
          <w:u w:val="none"/>
          <w:lang w:val="cs-CZ" w:eastAsia="en-US" w:bidi="ar-SA"/>
        </w:rPr>
        <w:t xml:space="preserve">4. </w:t>
      </w:r>
      <w:r>
        <w:rPr>
          <w:b/>
          <w:bCs/>
          <w:color w:val="2E74B5"/>
          <w:sz w:val="30"/>
          <w:szCs w:val="30"/>
          <w:u w:val="none"/>
        </w:rPr>
        <w:t xml:space="preserve">TÝDEN: </w:t>
      </w:r>
      <w:r>
        <w:rPr>
          <w:b/>
          <w:bCs/>
          <w:color w:val="DB7093"/>
          <w:sz w:val="30"/>
          <w:szCs w:val="30"/>
          <w:u w:val="none"/>
        </w:rPr>
        <w:t>Loučíme se se školkou</w:t>
      </w:r>
    </w:p>
    <w:p>
      <w:pPr>
        <w:pStyle w:val="Normal"/>
        <w:spacing w:lineRule="auto" w:line="276" w:before="0" w:after="0"/>
        <w:ind w:firstLine="555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</w:r>
    </w:p>
    <w:p>
      <w:pPr>
        <w:pStyle w:val="Normal"/>
        <w:spacing w:lineRule="auto" w:line="276" w:before="0" w:after="0"/>
        <w:ind w:firstLine="555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Dítě a jeho tělo (oblast biologická)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eastAsia="Calibri" w:cs=""/>
          <w:kern w:val="0"/>
          <w:sz w:val="22"/>
          <w:szCs w:val="22"/>
          <w:lang w:val="cs-CZ" w:eastAsia="en-US" w:bidi="ar-SA"/>
        </w:rPr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Umí zacházet se sportovním náčiním</w:t>
      </w:r>
    </w:p>
    <w:p>
      <w:pPr>
        <w:pStyle w:val="Normal"/>
        <w:spacing w:lineRule="auto" w:line="276" w:before="0" w:after="0"/>
        <w:rPr>
          <w:color w:val="C9211E"/>
        </w:rPr>
      </w:pPr>
      <w:r>
        <w:rPr>
          <w:b/>
          <w:color w:val="C9211E"/>
          <w:sz w:val="24"/>
          <w:szCs w:val="24"/>
        </w:rPr>
        <w:t xml:space="preserve">     </w:t>
      </w:r>
      <w:r>
        <w:rPr>
          <w:b/>
          <w:color w:val="C9211E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jeho psychika (oblast psychologická)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910" w:leader="none"/>
        </w:tabs>
        <w:spacing w:lineRule="auto" w:line="276" w:before="0" w:after="0"/>
        <w:rPr>
          <w:rFonts w:eastAsia="Calibri" w:cs="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Učí se záměrně pozorovat, všímat si (nového, změněného, chybějícího)</w:t>
      </w:r>
    </w:p>
    <w:p>
      <w:pPr>
        <w:pStyle w:val="Normal"/>
        <w:spacing w:lineRule="auto" w:line="276" w:before="0" w:after="0"/>
        <w:rPr>
          <w:color w:val="C9211E"/>
        </w:rPr>
      </w:pPr>
      <w:r>
        <w:rPr>
          <w:b/>
          <w:color w:val="C9211E"/>
          <w:sz w:val="24"/>
          <w:szCs w:val="24"/>
        </w:rPr>
        <w:t xml:space="preserve">     </w:t>
      </w:r>
      <w:r>
        <w:rPr>
          <w:b/>
          <w:color w:val="C9211E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 xml:space="preserve">Dítě a ten druhý </w:t>
      </w:r>
      <w:r>
        <w:rPr>
          <w:b/>
          <w:bCs/>
          <w:color w:themeColor="text1" w:val="000000"/>
          <w:sz w:val="24"/>
          <w:szCs w:val="24"/>
        </w:rPr>
        <w:t>(oblast interpersonální)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rFonts w:eastAsia="Calibri" w:cs="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Učí se ochotě rozdělit se</w:t>
      </w:r>
    </w:p>
    <w:p>
      <w:pPr>
        <w:pStyle w:val="Normal"/>
        <w:spacing w:lineRule="auto" w:line="276" w:before="0" w:after="0"/>
        <w:rPr>
          <w:color w:val="C9211E"/>
        </w:rPr>
      </w:pPr>
      <w:r>
        <w:rPr>
          <w:color w:val="C9211E"/>
          <w:sz w:val="24"/>
          <w:szCs w:val="24"/>
        </w:rPr>
        <w:t xml:space="preserve">     </w:t>
      </w:r>
      <w:r>
        <w:rPr>
          <w:color w:val="C9211E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společnost (sociálně-kulturní)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eastAsia="Calibri" w:cs="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Vnímá důležitost rituálů a tradic v životě člověka</w:t>
      </w:r>
    </w:p>
    <w:p>
      <w:pPr>
        <w:pStyle w:val="Normal"/>
        <w:spacing w:lineRule="auto" w:line="276" w:before="0" w:after="0"/>
        <w:rPr>
          <w:color w:val="C9211E"/>
        </w:rPr>
      </w:pPr>
      <w:r>
        <w:rPr>
          <w:b/>
          <w:color w:val="C9211E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svět (environmentální)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910" w:leader="none"/>
        </w:tabs>
        <w:spacing w:lineRule="auto" w:line="276" w:before="0" w:after="0"/>
        <w:rPr>
          <w:rFonts w:eastAsia="Calibri" w:cs="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Smysluplné činnosti přispívající k péči o životní prostředí</w:t>
      </w:r>
    </w:p>
    <w:p>
      <w:pPr>
        <w:pStyle w:val="Normal"/>
        <w:tabs>
          <w:tab w:val="clear" w:pos="708"/>
          <w:tab w:val="left" w:pos="6555" w:leader="none"/>
        </w:tabs>
        <w:spacing w:lineRule="auto" w:line="276" w:before="0" w:after="0"/>
        <w:rPr>
          <w:sz w:val="24"/>
          <w:szCs w:val="24"/>
        </w:rPr>
      </w:pPr>
      <w:r>
        <w:rPr>
          <w:color w:val="C9211E"/>
          <w:sz w:val="24"/>
          <w:szCs w:val="24"/>
        </w:rPr>
        <w:t xml:space="preserve">  </w:t>
      </w:r>
      <w:r>
        <w:rPr>
          <w:color w:val="C9211E"/>
          <w:sz w:val="24"/>
          <w:szCs w:val="24"/>
        </w:rPr>
        <w:tab/>
      </w:r>
    </w:p>
    <w:p>
      <w:pPr>
        <w:pStyle w:val="Normal"/>
        <w:spacing w:lineRule="auto" w:line="276" w:before="0" w:after="0"/>
        <w:rPr>
          <w:color w:val="C9211E"/>
        </w:rPr>
      </w:pPr>
      <w:r>
        <w:rPr>
          <w:b/>
          <w:color w:val="C9211E"/>
          <w:sz w:val="24"/>
          <w:szCs w:val="24"/>
        </w:rPr>
        <w:t xml:space="preserve">     </w:t>
      </w:r>
      <w:r>
        <w:rPr>
          <w:b/>
          <w:color w:val="C9211E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KLÍČOVÉ KOMPETENCE</w:t>
      </w:r>
    </w:p>
    <w:p>
      <w:pPr>
        <w:pStyle w:val="ListParagraph"/>
        <w:spacing w:lineRule="auto" w:line="276"/>
        <w:ind w:hanging="0" w:left="720"/>
        <w:rPr>
          <w:color w:val="000000"/>
        </w:rPr>
      </w:pP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lang w:val="cs-CZ" w:eastAsia="en-US" w:bidi="ar-SA"/>
        </w:rPr>
        <w:t xml:space="preserve">Sociální a personální: 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lang w:val="cs-CZ" w:eastAsia="en-US" w:bidi="ar-SA"/>
        </w:rPr>
        <w:t>Chápe, že lidé jsou různí a umí být tolerantní k jejich jedinečnostem</w:t>
      </w:r>
    </w:p>
    <w:p>
      <w:pPr>
        <w:pStyle w:val="ListParagraph"/>
        <w:spacing w:lineRule="auto" w:line="276" w:before="0" w:after="160"/>
        <w:ind w:hanging="0" w:left="720"/>
        <w:contextualSpacing/>
        <w:rPr>
          <w:color w:val="C9211E"/>
        </w:rPr>
      </w:pPr>
      <w:r>
        <w:rPr>
          <w:color w:val="C9211E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319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430229"/>
    <w:rPr>
      <w:rFonts w:ascii="Tahoma" w:hAnsi="Tahoma" w:cs="Tahoma"/>
      <w:sz w:val="16"/>
      <w:szCs w:val="16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02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5f9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9A9F-AB27-4D83-89BC-B1FE01A4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LibreOffice/7.6.6.3$Windows_X86_64 LibreOffice_project/d97b2716a9a4a2ce1391dee1765565ea469b0ae7</Application>
  <AppVersion>15.0000</AppVersion>
  <Pages>3</Pages>
  <Words>359</Words>
  <Characters>1965</Characters>
  <CharactersWithSpaces>2341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2021-09-28T19:43:00Z</dcterms:created>
  <dc:creator>Marsip</dc:creator>
  <dc:description/>
  <dc:language>cs-CZ</dc:language>
  <cp:lastModifiedBy/>
  <cp:lastPrinted>2024-04-29T13:24:38Z</cp:lastPrinted>
  <dcterms:modified xsi:type="dcterms:W3CDTF">2025-05-16T16:13:11Z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