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36"/>
          <w:szCs w:val="36"/>
        </w:rPr>
      </w:pPr>
      <w:r>
        <w:rPr>
          <w:rFonts w:eastAsia="Times New Roman" w:cs="Arial" w:ascii="Arial" w:hAnsi="Arial"/>
          <w:b/>
          <w:color w:val="222222"/>
          <w:sz w:val="36"/>
          <w:szCs w:val="36"/>
          <w:lang w:eastAsia="cs-CZ"/>
        </w:rPr>
        <w:t xml:space="preserve"> </w:t>
      </w:r>
      <w:r>
        <w:rPr>
          <w:rFonts w:eastAsia="Times New Roman" w:cs="Arial" w:ascii="Arial" w:hAnsi="Arial"/>
          <w:b/>
          <w:color w:val="222222"/>
          <w:sz w:val="36"/>
          <w:szCs w:val="36"/>
          <w:lang w:eastAsia="cs-CZ"/>
        </w:rPr>
        <w:t>MĚSÍČNÍ PLÁN</w:t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eastAsia="Times New Roman" w:cs="Arial" w:ascii="Arial" w:hAnsi="Arial"/>
          <w:b/>
          <w:color w:themeColor="accent1" w:themeShade="bf" w:val="2E74B5"/>
          <w:sz w:val="32"/>
          <w:szCs w:val="32"/>
          <w:lang w:eastAsia="cs-CZ"/>
        </w:rPr>
        <w:t>PROSINEC</w:t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eastAsia="Times New Roman" w:cs="Arial" w:ascii="Arial" w:hAnsi="Arial"/>
          <w:b/>
          <w:sz w:val="32"/>
          <w:szCs w:val="32"/>
          <w:lang w:eastAsia="cs-CZ"/>
        </w:rPr>
        <w:t>Bublinky</w:t>
      </w:r>
    </w:p>
    <w:p>
      <w:pPr>
        <w:pStyle w:val="ListParagraph"/>
        <w:spacing w:lineRule="auto" w:line="276" w:before="0" w:after="0"/>
        <w:ind w:hanging="0" w:left="1275"/>
        <w:contextualSpacing/>
        <w:rPr>
          <w:rFonts w:ascii="Arial" w:hAnsi="Arial" w:eastAsia="Times New Roman" w:cs="Arial"/>
          <w:b/>
          <w:sz w:val="36"/>
          <w:szCs w:val="32"/>
          <w:lang w:eastAsia="cs-CZ"/>
        </w:rPr>
      </w:pPr>
      <w:r>
        <w:rPr>
          <w:rFonts w:eastAsia="Times New Roman" w:cs="Arial" w:ascii="Arial" w:hAnsi="Arial"/>
          <w:b/>
          <w:sz w:val="36"/>
          <w:szCs w:val="32"/>
          <w:lang w:eastAsia="cs-CZ"/>
        </w:rPr>
      </w:r>
    </w:p>
    <w:p>
      <w:pPr>
        <w:pStyle w:val="ListParagraph"/>
        <w:spacing w:lineRule="auto" w:line="480" w:before="0" w:after="0"/>
        <w:contextualSpacing/>
        <w:rPr>
          <w:u w:val="none"/>
        </w:rPr>
      </w:pPr>
      <w:r>
        <w:rPr>
          <w:b/>
          <w:color w:val="4682B4"/>
          <w:sz w:val="30"/>
          <w:szCs w:val="30"/>
          <w:u w:val="none"/>
        </w:rPr>
        <w:t xml:space="preserve">1. TÝDEN: Přijde letos Mikuláš? </w:t>
      </w:r>
    </w:p>
    <w:p>
      <w:pPr>
        <w:pStyle w:val="Normal"/>
        <w:spacing w:lineRule="auto" w:line="276" w:before="0" w:after="0"/>
        <w:ind w:firstLine="708"/>
        <w:rPr>
          <w:color w:val="000000"/>
        </w:rPr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Umí zvládat jemnou motoriku – manipulaci s nástroji a výtvarnými potřebami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jeho psychika (oblast psychologická)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Zachytí hlavní myšlenku příběhu a umí děj zopakovat</w:t>
      </w:r>
    </w:p>
    <w:p>
      <w:pPr>
        <w:pStyle w:val="Normal"/>
        <w:tabs>
          <w:tab w:val="clear" w:pos="708"/>
          <w:tab w:val="left" w:pos="709" w:leader="none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910" w:leader="none"/>
        </w:tabs>
        <w:spacing w:lineRule="auto" w:line="276" w:before="0" w:after="0"/>
        <w:contextualSpacing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Spolupracovat s ostatními</w:t>
      </w:r>
    </w:p>
    <w:p>
      <w:pPr>
        <w:pStyle w:val="Normal"/>
        <w:tabs>
          <w:tab w:val="clear" w:pos="708"/>
          <w:tab w:val="left" w:pos="345" w:leader="none"/>
        </w:tabs>
        <w:spacing w:lineRule="auto" w:line="276" w:before="0" w:after="0"/>
        <w:rPr>
          <w:color w:val="000000"/>
        </w:rPr>
      </w:pPr>
      <w:r>
        <w:rPr>
          <w:b/>
          <w:bCs/>
          <w:color w:themeColor="text1" w:val="000000"/>
          <w:sz w:val="24"/>
          <w:szCs w:val="24"/>
        </w:rPr>
        <w:tab/>
        <w:tab/>
      </w:r>
      <w:r>
        <w:rPr>
          <w:b/>
          <w:color w:themeColor="text1" w:val="000000"/>
          <w:sz w:val="24"/>
          <w:szCs w:val="24"/>
        </w:rPr>
        <w:t xml:space="preserve">Dítě a společnost (sociálně-kulturní)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45" w:leader="none"/>
        </w:tabs>
        <w:spacing w:lineRule="auto" w:line="276" w:before="0" w:after="0"/>
        <w:rPr>
          <w:rFonts w:ascii="Calibri" w:hAnsi="Calibri"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  <w:t>Vnímat umělecké a kulturní podněty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 xml:space="preserve">     </w:t>
      </w: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(enviromentální)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Má povědomí  o společenském a kulturním dění v okolí</w:t>
      </w:r>
    </w:p>
    <w:p>
      <w:pPr>
        <w:pStyle w:val="Normal"/>
        <w:tabs>
          <w:tab w:val="clear" w:pos="708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KLÍČOVÉ KOMPETENCE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37" w:right="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>K učení: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Orientuje se v řádu a dění v prostředí, ve které, žije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785" w:right="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1522" w:right="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u w:val="none"/>
        </w:rPr>
      </w:pPr>
      <w:r>
        <w:rPr>
          <w:rFonts w:eastAsia="Times New Roman" w:cs="Arial"/>
          <w:b/>
          <w:bCs w:val="false"/>
          <w:color w:val="4682B4"/>
          <w:sz w:val="30"/>
          <w:szCs w:val="30"/>
          <w:u w:val="none"/>
          <w:lang w:eastAsia="cs-CZ"/>
        </w:rPr>
        <w:tab/>
        <w:t xml:space="preserve">2. TÝDEN: </w:t>
      </w:r>
      <w:r>
        <w:rPr>
          <w:rFonts w:eastAsia="Times New Roman" w:cs="Arial"/>
          <w:b/>
          <w:bCs w:val="false"/>
          <w:color w:val="4682B4"/>
          <w:kern w:val="0"/>
          <w:sz w:val="30"/>
          <w:szCs w:val="30"/>
          <w:u w:val="none"/>
          <w:lang w:val="cs-CZ" w:eastAsia="cs-CZ" w:bidi="ar-SA"/>
        </w:rPr>
        <w:t>Svatá Lucie noci upije</w:t>
      </w:r>
    </w:p>
    <w:p>
      <w:pPr>
        <w:pStyle w:val="Normal"/>
        <w:spacing w:lineRule="auto" w:line="276" w:before="0" w:after="0"/>
        <w:ind w:firstLine="708"/>
        <w:rPr>
          <w:color w:val="000000"/>
        </w:rPr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zvládá základní a pohybové dovednosti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jeho psychika (oblast psychologická)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Umí formulovat otázky a odpovídat</w:t>
      </w:r>
    </w:p>
    <w:p>
      <w:pPr>
        <w:pStyle w:val="Normal"/>
        <w:tabs>
          <w:tab w:val="clear" w:pos="708"/>
          <w:tab w:val="left" w:pos="709" w:leader="none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8910" w:leader="none"/>
        </w:tabs>
        <w:spacing w:lineRule="auto" w:line="276" w:before="0" w:after="0"/>
        <w:contextualSpacing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Dokáže spolupracovat s ostatními a vnímat jejich přání</w:t>
      </w:r>
    </w:p>
    <w:p>
      <w:pPr>
        <w:pStyle w:val="Normal"/>
        <w:tabs>
          <w:tab w:val="clear" w:pos="708"/>
          <w:tab w:val="left" w:pos="345" w:leader="none"/>
        </w:tabs>
        <w:spacing w:lineRule="auto" w:line="276" w:before="0" w:after="0"/>
        <w:rPr>
          <w:color w:val="000000"/>
        </w:rPr>
      </w:pPr>
      <w:r>
        <w:rPr>
          <w:b/>
          <w:bCs/>
          <w:color w:themeColor="text1" w:val="000000"/>
          <w:sz w:val="24"/>
          <w:szCs w:val="24"/>
        </w:rPr>
        <w:tab/>
        <w:tab/>
      </w:r>
      <w:r>
        <w:rPr>
          <w:b/>
          <w:color w:themeColor="text1" w:val="000000"/>
          <w:sz w:val="24"/>
          <w:szCs w:val="24"/>
        </w:rPr>
        <w:t xml:space="preserve">Dítě a společnost (sociálně-kulturní)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45" w:leader="none"/>
        </w:tabs>
        <w:spacing w:lineRule="auto" w:line="276" w:before="0" w:after="0"/>
        <w:rPr>
          <w:rFonts w:ascii="Calibri" w:hAnsi="Calibri"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  <w:t>Dodržuje pravidla her a jiného dění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 xml:space="preserve">     </w:t>
      </w: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(enviromentální)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Osvojit si elementární poznatky o okolí a dění v něm</w:t>
      </w:r>
    </w:p>
    <w:p>
      <w:pPr>
        <w:pStyle w:val="Normal"/>
        <w:tabs>
          <w:tab w:val="clear" w:pos="708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KLÍČOVÉ KOMPETENCE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910" w:leader="none"/>
        </w:tabs>
        <w:suppressAutoHyphens w:val="true"/>
        <w:bidi w:val="0"/>
        <w:spacing w:lineRule="auto" w:line="276" w:before="0" w:after="0"/>
        <w:ind w:hanging="0" w:left="0" w:right="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           </w:t>
      </w: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>Činnostní a občanské: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Chápe, že zájem o to, co se kolem děje, činorodost a pracovitost jsou přínosem</w:t>
      </w:r>
    </w:p>
    <w:p>
      <w:pPr>
        <w:pStyle w:val="ListParagraph"/>
        <w:widowControl/>
        <w:tabs>
          <w:tab w:val="clear" w:pos="708"/>
          <w:tab w:val="left" w:pos="8910" w:leader="none"/>
        </w:tabs>
        <w:suppressAutoHyphens w:val="true"/>
        <w:bidi w:val="0"/>
        <w:spacing w:lineRule="auto" w:line="276" w:before="0" w:after="0"/>
        <w:ind w:hanging="425" w:left="1276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val="4682B4"/>
          <w:kern w:val="0"/>
          <w:sz w:val="30"/>
          <w:szCs w:val="30"/>
          <w:u w:val="none"/>
          <w:lang w:val="cs-CZ" w:eastAsia="en-US" w:bidi="ar-SA"/>
        </w:rPr>
        <w:tab/>
      </w:r>
      <w:r>
        <w:br w:type="page"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val="4682B4"/>
          <w:kern w:val="0"/>
          <w:sz w:val="30"/>
          <w:szCs w:val="30"/>
          <w:u w:val="none"/>
          <w:lang w:val="cs-CZ" w:eastAsia="en-US" w:bidi="ar-SA"/>
        </w:rPr>
        <w:t>3. TÝDEN:</w:t>
      </w:r>
      <w:r>
        <w:rPr>
          <w:rFonts w:eastAsia="Calibri" w:cs=""/>
          <w:b w:val="false"/>
          <w:bCs w:val="false"/>
          <w:color w:val="4682B4"/>
          <w:kern w:val="0"/>
          <w:sz w:val="30"/>
          <w:szCs w:val="30"/>
          <w:u w:val="none"/>
          <w:lang w:val="cs-CZ" w:eastAsia="en-US" w:bidi="ar-SA"/>
        </w:rPr>
        <w:t xml:space="preserve"> </w:t>
      </w:r>
      <w:r>
        <w:rPr>
          <w:rFonts w:eastAsia="Calibri" w:cs=""/>
          <w:b/>
          <w:bCs/>
          <w:color w:val="4682B4"/>
          <w:kern w:val="0"/>
          <w:sz w:val="30"/>
          <w:szCs w:val="30"/>
          <w:u w:val="none"/>
          <w:lang w:val="cs-CZ" w:eastAsia="en-US" w:bidi="ar-SA"/>
        </w:rPr>
        <w:t>Ježíšek je tady!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/>
        <w:rPr>
          <w:rFonts w:ascii="Calibri" w:hAnsi="Calibri"/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/>
        <w:rPr>
          <w:rFonts w:ascii="Calibri" w:hAnsi="Calibri"/>
          <w:color w:themeColor="text1" w:val="000000"/>
        </w:rPr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Zrakově rozlišovat tvary a předměty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ab/>
      </w:r>
      <w:r>
        <w:rPr>
          <w:b/>
          <w:bCs/>
          <w:color w:themeColor="text1" w:val="000000"/>
          <w:sz w:val="24"/>
          <w:szCs w:val="24"/>
        </w:rPr>
        <w:t>Dítě a jeh</w:t>
      </w:r>
      <w:r>
        <w:rPr>
          <w:b/>
          <w:color w:themeColor="text1" w:val="000000"/>
          <w:sz w:val="24"/>
          <w:szCs w:val="24"/>
        </w:rPr>
        <w:t>o psychika (oblast psychologická)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Učit se nová slova a aktivně je používat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60" w:left="1134"/>
        <w:contextualSpacing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Chovat se ohleduplně a vstřícně k ostatním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společnost (sociálně-kulturní)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 xml:space="preserve">Zacházet šetrně s cizími i vlastními hračkami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svět (enviromentální)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Přirozené pozorování blízkého prostředí a života v něm</w:t>
      </w:r>
    </w:p>
    <w:p>
      <w:pPr>
        <w:pStyle w:val="Normal"/>
        <w:spacing w:lineRule="auto" w:line="276"/>
        <w:rPr>
          <w:color w:val="000000"/>
        </w:rPr>
      </w:pPr>
      <w:r>
        <w:rPr>
          <w:b/>
          <w:color w:themeColor="text1" w:val="000000"/>
          <w:sz w:val="24"/>
          <w:szCs w:val="24"/>
        </w:rPr>
        <w:t xml:space="preserve">      </w:t>
      </w:r>
      <w:r>
        <w:rPr>
          <w:b/>
          <w:color w:themeColor="text1" w:val="000000"/>
          <w:sz w:val="24"/>
          <w:szCs w:val="24"/>
        </w:rPr>
        <w:tab/>
      </w:r>
    </w:p>
    <w:p>
      <w:pPr>
        <w:pStyle w:val="Normal"/>
        <w:spacing w:lineRule="auto" w:line="276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KLÍČOVÉ KOMPETENCE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/>
          <w:bCs/>
          <w:color w:themeColor="text1" w:val="000000"/>
          <w:kern w:val="0"/>
          <w:sz w:val="24"/>
          <w:szCs w:val="24"/>
          <w:u w:val="none"/>
          <w:lang w:val="cs-CZ" w:eastAsia="en-US" w:bidi="ar-SA"/>
        </w:rPr>
        <w:t>Komunikativní: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Rozšiřuje svou slovní zásobu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ab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ab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color w:val="4682B4"/>
        </w:rPr>
      </w:r>
    </w:p>
    <w:p>
      <w:pPr>
        <w:pStyle w:val="ListParagraph"/>
        <w:spacing w:lineRule="auto" w:line="276"/>
        <w:ind w:hanging="0" w:left="720"/>
        <w:rPr>
          <w:color w:val="4682B4"/>
        </w:rPr>
      </w:pP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ab/>
      </w:r>
    </w:p>
    <w:p>
      <w:pPr>
        <w:pStyle w:val="ListParagraph"/>
        <w:spacing w:lineRule="auto" w:line="276"/>
        <w:ind w:hanging="0" w:left="993"/>
        <w:rPr>
          <w:rFonts w:ascii="Calibri" w:hAnsi="Calibri"/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spacing w:lineRule="auto" w:line="276" w:before="0" w:after="160"/>
        <w:ind w:hanging="0" w:left="1275"/>
        <w:contextualSpacing/>
        <w:rPr>
          <w:rFonts w:ascii="Calibri" w:hAnsi="Calibri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319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430229"/>
    <w:rPr>
      <w:rFonts w:ascii="Tahoma" w:hAnsi="Tahoma" w:cs="Tahoma"/>
      <w:sz w:val="16"/>
      <w:szCs w:val="16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02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5f9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9A9F-AB27-4D83-89BC-B1FE01A4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Application>LibreOffice/7.6.6.3$Windows_X86_64 LibreOffice_project/d97b2716a9a4a2ce1391dee1765565ea469b0ae7</Application>
  <AppVersion>15.0000</AppVersion>
  <Pages>2</Pages>
  <Words>258</Words>
  <Characters>1407</Characters>
  <CharactersWithSpaces>1670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2021-09-28T19:43:00Z</dcterms:created>
  <dc:creator>Marsip</dc:creator>
  <dc:description/>
  <dc:language>cs-CZ</dc:language>
  <cp:lastModifiedBy/>
  <cp:lastPrinted>2024-11-29T07:39:10Z</cp:lastPrinted>
  <dcterms:modified xsi:type="dcterms:W3CDTF">2024-11-29T07:43:19Z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